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34" w:rsidRDefault="001D4E34" w:rsidP="00A06B6B">
      <w:pPr>
        <w:spacing w:after="0" w:line="240" w:lineRule="auto"/>
        <w:jc w:val="center"/>
        <w:rPr>
          <w:b/>
        </w:rPr>
      </w:pPr>
      <w:r w:rsidRPr="00E55971">
        <w:rPr>
          <w:b/>
        </w:rPr>
        <w:t>Система оценивания достижений студентов на получение повышенной государственной академической стипендии по учебной деятельности</w:t>
      </w:r>
    </w:p>
    <w:p w:rsidR="00297097" w:rsidRPr="00297097" w:rsidRDefault="00297097" w:rsidP="00A06B6B">
      <w:pPr>
        <w:spacing w:after="0" w:line="240" w:lineRule="auto"/>
        <w:jc w:val="left"/>
      </w:pPr>
      <w:r>
        <w:t>Выписка из положения о стипендиальном обеспечении и других формах материальной поддержки обучающихся в СВФУ, утв. 21.02.2017</w:t>
      </w:r>
    </w:p>
    <w:p w:rsidR="001D4E34" w:rsidRPr="00E55971" w:rsidRDefault="001D4E34" w:rsidP="00A06B6B">
      <w:pPr>
        <w:spacing w:after="0" w:line="240" w:lineRule="auto"/>
        <w:ind w:firstLine="709"/>
        <w:rPr>
          <w:i/>
        </w:rPr>
      </w:pPr>
      <w:r w:rsidRPr="00E55971">
        <w:rPr>
          <w:i/>
        </w:rPr>
        <w:t>7.8</w:t>
      </w:r>
      <w:r w:rsidRPr="00E55971">
        <w:rPr>
          <w:i/>
        </w:rPr>
        <w:tab/>
        <w:t>Повышенная государственная академическая стипендия назначается за достижения студента в учебной деят</w:t>
      </w:r>
      <w:bookmarkStart w:id="0" w:name="_GoBack"/>
      <w:bookmarkEnd w:id="0"/>
      <w:r w:rsidRPr="00E55971">
        <w:rPr>
          <w:i/>
        </w:rPr>
        <w:t>ельности при соответствии этих достижений одному или нескольким из следующих критериев:</w:t>
      </w:r>
    </w:p>
    <w:p w:rsidR="001D4E34" w:rsidRPr="00E55971" w:rsidRDefault="001D4E34" w:rsidP="00A06B6B">
      <w:pPr>
        <w:spacing w:after="0" w:line="240" w:lineRule="auto"/>
        <w:ind w:firstLine="709"/>
        <w:rPr>
          <w:i/>
        </w:rPr>
      </w:pPr>
      <w:r w:rsidRPr="00E55971">
        <w:rPr>
          <w:i/>
        </w:rPr>
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«отлично»;</w:t>
      </w:r>
    </w:p>
    <w:p w:rsidR="001D4E34" w:rsidRPr="00E55971" w:rsidRDefault="001D4E34" w:rsidP="00A06B6B">
      <w:pPr>
        <w:spacing w:after="0" w:line="240" w:lineRule="auto"/>
        <w:ind w:firstLine="709"/>
        <w:rPr>
          <w:i/>
        </w:rPr>
      </w:pPr>
      <w:r w:rsidRPr="00E55971">
        <w:rPr>
          <w:i/>
        </w:rP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1D4E34" w:rsidRPr="00E55971" w:rsidRDefault="001D4E34" w:rsidP="00A06B6B">
      <w:pPr>
        <w:spacing w:after="0" w:line="240" w:lineRule="auto"/>
        <w:ind w:firstLine="709"/>
        <w:rPr>
          <w:i/>
        </w:rPr>
      </w:pPr>
      <w:r w:rsidRPr="00E55971">
        <w:rPr>
          <w:i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p w:rsidR="00297097" w:rsidRDefault="00297097" w:rsidP="00A06B6B">
      <w:pPr>
        <w:spacing w:after="0" w:line="240" w:lineRule="auto"/>
      </w:pPr>
      <w:r>
        <w:t>Вводятся следующие обозначения:</w:t>
      </w:r>
    </w:p>
    <w:p w:rsidR="00297097" w:rsidRDefault="00297097" w:rsidP="00A06B6B">
      <w:pPr>
        <w:spacing w:after="0" w:line="240" w:lineRule="auto"/>
      </w:pPr>
      <w:r>
        <w:t xml:space="preserve">1) </w:t>
      </w:r>
      <m:oMath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усп</m:t>
            </m:r>
          </m:sub>
        </m:sSub>
      </m:oMath>
      <w:r w:rsidRPr="00B959BD">
        <w:t xml:space="preserve"> </w:t>
      </w:r>
      <w:r>
        <w:t xml:space="preserve"> - балл </w:t>
      </w:r>
      <w:r w:rsidR="0035599A">
        <w:t>за успеваемости.</w:t>
      </w:r>
    </w:p>
    <w:p w:rsidR="001D4E34" w:rsidRPr="00667241" w:rsidRDefault="00297097" w:rsidP="00A06B6B">
      <w:pPr>
        <w:spacing w:after="0" w:line="240" w:lineRule="auto"/>
        <w:rPr>
          <w:i/>
        </w:rPr>
      </w:pPr>
      <w:r>
        <w:t>Б</w:t>
      </w:r>
      <w:r w:rsidR="001D4E34" w:rsidRPr="00B959BD">
        <w:t>алл за успеваемость рассчитывается по формуле:</w:t>
      </w:r>
      <w: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усп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eastAsia="ru-RU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lang w:eastAsia="ru-RU"/>
              </w:rPr>
              <m:t>П</m:t>
            </m:r>
          </m:e>
          <m:sub>
            <m:r>
              <w:rPr>
                <w:rFonts w:ascii="Cambria Math" w:eastAsiaTheme="minorEastAsia" w:hAnsi="Cambria Math"/>
                <w:lang w:eastAsia="ru-RU"/>
              </w:rPr>
              <m:t>отл</m:t>
            </m:r>
          </m:sub>
        </m:sSub>
      </m:oMath>
    </w:p>
    <w:p w:rsidR="001D4E34" w:rsidRDefault="00A06B6B" w:rsidP="00A06B6B">
      <w:pPr>
        <w:spacing w:after="0" w:line="240" w:lineRule="auto"/>
      </w:pP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D4E34" w:rsidRPr="00B959BD"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D4E34">
        <w:t xml:space="preserve"> - семестровый рейтинг (</w:t>
      </w:r>
      <w:r w:rsidR="001D4E34" w:rsidRPr="00B959BD">
        <w:t>расчетная величина, определяющая показат</w:t>
      </w:r>
      <w:r w:rsidR="00667241">
        <w:t>ель успеваемости студента</w:t>
      </w:r>
      <w:r w:rsidR="001D4E34" w:rsidRPr="00B959BD">
        <w:t xml:space="preserve"> и рассчитывается как средняя величина по рейтинговым оценкам дисциплин, изучаемым в</w:t>
      </w:r>
      <w:r w:rsidR="001D4E34">
        <w:t xml:space="preserve"> семестре) по результатам предыдущего</w:t>
      </w:r>
      <w:r w:rsidR="004C3A90">
        <w:t xml:space="preserve"> </w:t>
      </w:r>
      <w:r w:rsidR="001D4E34" w:rsidRPr="00B959BD">
        <w:t>или пре-предыдущем</w:t>
      </w:r>
      <w:proofErr w:type="gramStart"/>
      <w:r w:rsidR="001D4E34" w:rsidRPr="00B959BD">
        <w:t xml:space="preserve"> )</w:t>
      </w:r>
      <w:proofErr w:type="gramEnd"/>
      <w:r w:rsidR="001D4E34" w:rsidRPr="00B959BD">
        <w:t xml:space="preserve"> семестре</w:t>
      </w:r>
    </w:p>
    <w:p w:rsidR="001D4E34" w:rsidRPr="00045CC3" w:rsidRDefault="00A06B6B" w:rsidP="00A06B6B">
      <w:pPr>
        <w:spacing w:after="0" w:line="240" w:lineRule="auto"/>
        <w:ind w:firstLine="709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БРС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БРС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+..+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БРС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+..+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БРС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1D4E34" w:rsidRPr="00B959BD" w:rsidRDefault="001D4E34" w:rsidP="00A06B6B">
      <w:pPr>
        <w:spacing w:after="0" w:line="240" w:lineRule="auto"/>
        <w:ind w:firstLine="709"/>
      </w:pPr>
      <w:r w:rsidRPr="00B959BD"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БРС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B959BD">
        <w:t xml:space="preserve"> – рейтинговая оценка по 100-балльной шкале по </w:t>
      </w:r>
      <w:r w:rsidRPr="00B959BD">
        <w:rPr>
          <w:i/>
          <w:lang w:val="en-US"/>
        </w:rPr>
        <w:t>i</w:t>
      </w:r>
      <w:r w:rsidRPr="00B959BD">
        <w:t>-ой дисциплине</w:t>
      </w:r>
    </w:p>
    <w:p w:rsidR="001D4E34" w:rsidRDefault="001D4E34" w:rsidP="00A06B6B">
      <w:pPr>
        <w:spacing w:after="0" w:line="240" w:lineRule="auto"/>
        <w:ind w:firstLine="709"/>
      </w:pPr>
      <m:oMath>
        <m:r>
          <w:rPr>
            <w:rFonts w:ascii="Cambria Math" w:hAnsi="Cambria Math"/>
          </w:rPr>
          <m:t>N</m:t>
        </m:r>
      </m:oMath>
      <w:r w:rsidRPr="00B959BD">
        <w:t xml:space="preserve"> – </w:t>
      </w:r>
      <w:r>
        <w:t>общее к</w:t>
      </w:r>
      <w:r w:rsidRPr="00B959BD">
        <w:t>оличество рейтинговых оценок за семестр</w:t>
      </w:r>
      <w:r w:rsidR="00667241">
        <w:t xml:space="preserve"> (экзамены, зачеты, зачеты с оценкой, курсовые работы, курсовые практики)</w:t>
      </w:r>
    </w:p>
    <w:p w:rsidR="00667241" w:rsidRDefault="00A06B6B" w:rsidP="00A06B6B">
      <w:pPr>
        <w:spacing w:after="0" w:line="240" w:lineRule="auto"/>
        <w:ind w:firstLine="709"/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lang w:eastAsia="ru-RU"/>
              </w:rPr>
              <m:t>П</m:t>
            </m:r>
          </m:e>
          <m:sub>
            <m:r>
              <w:rPr>
                <w:rFonts w:ascii="Cambria Math" w:eastAsiaTheme="minorEastAsia" w:hAnsi="Cambria Math"/>
                <w:lang w:eastAsia="ru-RU"/>
              </w:rPr>
              <m:t>отл</m:t>
            </m:r>
          </m:sub>
        </m:sSub>
      </m:oMath>
      <w:r w:rsidR="00667241">
        <w:rPr>
          <w:lang w:eastAsia="ru-RU"/>
        </w:rPr>
        <w:t xml:space="preserve"> - процент оценок «отлично» к общему числу дифференцированных оценок, понижающий коэффициент </w:t>
      </w:r>
    </w:p>
    <w:p w:rsidR="001D4E34" w:rsidRPr="00667241" w:rsidRDefault="00A06B6B" w:rsidP="00A06B6B">
      <w:pPr>
        <w:spacing w:after="0" w:line="240" w:lineRule="auto"/>
        <w:ind w:firstLine="709"/>
        <w:rPr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ru-RU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lang w:eastAsia="ru-RU"/>
                </w:rPr>
                <m:t>отл</m:t>
              </m:r>
            </m:sub>
          </m:sSub>
          <m:r>
            <w:rPr>
              <w:rFonts w:ascii="Cambria Math" w:eastAsiaTheme="minorEastAsia" w:hAnsi="Cambria Math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ru-RU"/>
                    </w:rPr>
                    <m:t>отл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ru-RU"/>
                    </w:rPr>
                    <m:t>диф</m:t>
                  </m:r>
                </m:sub>
              </m:sSub>
            </m:den>
          </m:f>
        </m:oMath>
      </m:oMathPara>
    </w:p>
    <w:p w:rsidR="00667241" w:rsidRDefault="00A06B6B" w:rsidP="00A06B6B">
      <w:pPr>
        <w:spacing w:after="0" w:line="240" w:lineRule="auto"/>
        <w:ind w:firstLine="709"/>
        <w:rPr>
          <w:lang w:eastAsia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lang w:eastAsia="ru-RU"/>
              </w:rPr>
              <m:t>К</m:t>
            </m:r>
          </m:e>
          <m:sub>
            <m:r>
              <w:rPr>
                <w:rFonts w:ascii="Cambria Math" w:eastAsiaTheme="minorEastAsia" w:hAnsi="Cambria Math"/>
                <w:lang w:eastAsia="ru-RU"/>
              </w:rPr>
              <m:t>отл</m:t>
            </m:r>
          </m:sub>
        </m:sSub>
      </m:oMath>
      <w:r w:rsidR="00667241">
        <w:rPr>
          <w:lang w:eastAsia="ru-RU"/>
        </w:rPr>
        <w:t xml:space="preserve"> – количество оценок «отлично» за 2 расчетных семестра</w:t>
      </w:r>
    </w:p>
    <w:p w:rsidR="00667241" w:rsidRPr="00B959BD" w:rsidRDefault="00A06B6B" w:rsidP="00A06B6B">
      <w:pPr>
        <w:spacing w:after="0" w:line="240" w:lineRule="auto"/>
        <w:ind w:firstLine="709"/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lang w:eastAsia="ru-RU"/>
              </w:rPr>
              <m:t>К</m:t>
            </m:r>
          </m:e>
          <m:sub>
            <m:r>
              <w:rPr>
                <w:rFonts w:ascii="Cambria Math" w:eastAsiaTheme="minorEastAsia" w:hAnsi="Cambria Math"/>
                <w:lang w:eastAsia="ru-RU"/>
              </w:rPr>
              <m:t>диф</m:t>
            </m:r>
          </m:sub>
        </m:sSub>
      </m:oMath>
      <w:r w:rsidR="00667241">
        <w:rPr>
          <w:lang w:eastAsia="ru-RU"/>
        </w:rPr>
        <w:t xml:space="preserve"> – количество </w:t>
      </w:r>
      <w:r w:rsidR="00297097">
        <w:rPr>
          <w:lang w:eastAsia="ru-RU"/>
        </w:rPr>
        <w:t xml:space="preserve">всех </w:t>
      </w:r>
      <w:r w:rsidR="00667241">
        <w:rPr>
          <w:lang w:eastAsia="ru-RU"/>
        </w:rPr>
        <w:t>дифференцированных оценок (экзамены, зачеты с оценкой, курсовые работы, курсовые проекты).</w:t>
      </w:r>
    </w:p>
    <w:p w:rsidR="00D109D0" w:rsidRDefault="00A06B6B" w:rsidP="00A06B6B">
      <w:pPr>
        <w:spacing w:after="0" w:line="240" w:lineRule="auto"/>
      </w:pPr>
      <m:oMath>
        <m:sSub>
          <m:sSubPr>
            <m:ctrlPr>
              <w:rPr>
                <w:rFonts w:ascii="Cambria Math" w:eastAsia="Times New Roman" w:hAnsi="Cambria Math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усп</m:t>
            </m:r>
          </m:sub>
        </m:sSub>
      </m:oMath>
      <w:r w:rsidR="00D109D0" w:rsidRPr="00B959BD">
        <w:t xml:space="preserve"> </w:t>
      </w:r>
      <w:r w:rsidR="00D109D0">
        <w:t xml:space="preserve"> - балл успеваемости округляется с точностью до сотых.</w:t>
      </w:r>
    </w:p>
    <w:p w:rsidR="001D4E34" w:rsidRPr="00B959BD" w:rsidRDefault="00D109D0" w:rsidP="00A06B6B">
      <w:pPr>
        <w:spacing w:after="0" w:line="240" w:lineRule="auto"/>
      </w:pPr>
      <w:r>
        <w:lastRenderedPageBreak/>
        <w:t xml:space="preserve">2)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</m:oMath>
      <w:r>
        <w:rPr>
          <w:lang w:eastAsia="ru-RU"/>
        </w:rPr>
        <w:t xml:space="preserve"> </w:t>
      </w:r>
      <w:r w:rsidR="001B594E">
        <w:rPr>
          <w:lang w:eastAsia="ru-RU"/>
        </w:rPr>
        <w:t xml:space="preserve">- </w:t>
      </w:r>
      <w:r>
        <w:rPr>
          <w:lang w:eastAsia="ru-RU"/>
        </w:rPr>
        <w:t xml:space="preserve">балл за особые достижения </w:t>
      </w:r>
      <w:r w:rsidR="001B594E">
        <w:t xml:space="preserve">(п. 7.8 </w:t>
      </w:r>
      <w:proofErr w:type="spellStart"/>
      <w:r w:rsidR="001B594E">
        <w:t>б,в</w:t>
      </w:r>
      <w:proofErr w:type="spellEnd"/>
      <w:r w:rsidR="001B594E">
        <w:t xml:space="preserve"> Положения),  </w:t>
      </w:r>
      <w:r w:rsidR="001D4E34" w:rsidRPr="00B959BD">
        <w:t xml:space="preserve">назначается при предоставлении документа, удостоверяющего </w:t>
      </w:r>
      <w:r w:rsidR="001D4E34" w:rsidRPr="00191A4F">
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</w:r>
      <w:r w:rsidR="001D4E34">
        <w:t xml:space="preserve"> или </w:t>
      </w:r>
      <w:r w:rsidR="001D4E34" w:rsidRPr="00B959BD">
        <w:t xml:space="preserve"> </w:t>
      </w:r>
      <w:r w:rsidR="001D4E34" w:rsidRPr="00191A4F"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</w:r>
      <w:r w:rsidR="001D4E34">
        <w:t xml:space="preserve">, </w:t>
      </w:r>
      <w:r w:rsidR="001D4E34" w:rsidRPr="00B959BD">
        <w:t xml:space="preserve">согласно таблице </w:t>
      </w:r>
      <w:r w:rsidR="00667241">
        <w:t>1</w:t>
      </w:r>
      <w:r w:rsidR="001D4E34" w:rsidRPr="00B959BD">
        <w:t>.</w:t>
      </w:r>
    </w:p>
    <w:p w:rsidR="001D4E34" w:rsidRDefault="001D4E34" w:rsidP="00A06B6B">
      <w:pPr>
        <w:spacing w:after="0" w:line="240" w:lineRule="auto"/>
      </w:pPr>
      <w:r w:rsidRPr="00B959BD">
        <w:t xml:space="preserve">Таблица </w:t>
      </w:r>
      <w:r w:rsidR="00667241">
        <w:t>1</w:t>
      </w:r>
      <w:r w:rsidRPr="00B959BD">
        <w:t xml:space="preserve"> – Распределение баллов за особое достижения по учебной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4204"/>
        <w:gridCol w:w="2096"/>
        <w:gridCol w:w="2373"/>
      </w:tblGrid>
      <w:tr w:rsidR="001B594E" w:rsidTr="00C53AB3">
        <w:trPr>
          <w:trHeight w:val="781"/>
        </w:trPr>
        <w:tc>
          <w:tcPr>
            <w:tcW w:w="672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4204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мероприятия</w:t>
            </w:r>
          </w:p>
        </w:tc>
        <w:tc>
          <w:tcPr>
            <w:tcW w:w="2096" w:type="dxa"/>
            <w:vAlign w:val="center"/>
          </w:tcPr>
          <w:p w:rsidR="001B594E" w:rsidRPr="004C3A90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t>Б</w:t>
            </w:r>
            <w:r w:rsidR="001B594E" w:rsidRPr="00B959BD">
              <w:t xml:space="preserve">алл за </w:t>
            </w:r>
            <w:r>
              <w:t>1 место</w:t>
            </w:r>
          </w:p>
        </w:tc>
        <w:tc>
          <w:tcPr>
            <w:tcW w:w="2373" w:type="dxa"/>
            <w:vAlign w:val="center"/>
          </w:tcPr>
          <w:p w:rsidR="001B594E" w:rsidRPr="00B959BD" w:rsidRDefault="0035599A" w:rsidP="00A06B6B">
            <w:pPr>
              <w:spacing w:line="240" w:lineRule="auto"/>
              <w:jc w:val="center"/>
            </w:pPr>
            <w:r>
              <w:t>Б</w:t>
            </w:r>
            <w:r w:rsidRPr="00B959BD">
              <w:t xml:space="preserve">алл за </w:t>
            </w:r>
            <w:r>
              <w:t>2-3 места</w:t>
            </w:r>
          </w:p>
        </w:tc>
      </w:tr>
      <w:tr w:rsidR="001B594E" w:rsidTr="00C53AB3">
        <w:tc>
          <w:tcPr>
            <w:tcW w:w="672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4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2096" w:type="dxa"/>
            <w:vAlign w:val="bottom"/>
          </w:tcPr>
          <w:p w:rsidR="001B594E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373" w:type="dxa"/>
          </w:tcPr>
          <w:p w:rsidR="001B594E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</w:tr>
      <w:tr w:rsidR="001B594E" w:rsidTr="00C53AB3">
        <w:tc>
          <w:tcPr>
            <w:tcW w:w="672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4" w:type="dxa"/>
            <w:vAlign w:val="center"/>
          </w:tcPr>
          <w:p w:rsidR="001B594E" w:rsidRDefault="001B594E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Всероссийский</w:t>
            </w:r>
          </w:p>
        </w:tc>
        <w:tc>
          <w:tcPr>
            <w:tcW w:w="2096" w:type="dxa"/>
            <w:vAlign w:val="bottom"/>
          </w:tcPr>
          <w:p w:rsidR="001B594E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2373" w:type="dxa"/>
          </w:tcPr>
          <w:p w:rsidR="001B594E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35599A" w:rsidTr="00C53AB3">
        <w:tc>
          <w:tcPr>
            <w:tcW w:w="672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04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Региональный</w:t>
            </w:r>
          </w:p>
        </w:tc>
        <w:tc>
          <w:tcPr>
            <w:tcW w:w="2096" w:type="dxa"/>
            <w:vAlign w:val="bottom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373" w:type="dxa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35599A" w:rsidTr="00C53AB3">
        <w:tc>
          <w:tcPr>
            <w:tcW w:w="672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04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Республиканский</w:t>
            </w:r>
          </w:p>
        </w:tc>
        <w:tc>
          <w:tcPr>
            <w:tcW w:w="2096" w:type="dxa"/>
            <w:vAlign w:val="bottom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73" w:type="dxa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35599A" w:rsidTr="00C53AB3">
        <w:tc>
          <w:tcPr>
            <w:tcW w:w="672" w:type="dxa"/>
            <w:vAlign w:val="center"/>
          </w:tcPr>
          <w:p w:rsidR="0035599A" w:rsidRDefault="00BD376B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04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Университетский</w:t>
            </w:r>
          </w:p>
        </w:tc>
        <w:tc>
          <w:tcPr>
            <w:tcW w:w="2096" w:type="dxa"/>
            <w:vAlign w:val="bottom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73" w:type="dxa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35599A" w:rsidTr="00C53AB3">
        <w:tc>
          <w:tcPr>
            <w:tcW w:w="672" w:type="dxa"/>
            <w:vAlign w:val="center"/>
          </w:tcPr>
          <w:p w:rsidR="0035599A" w:rsidRDefault="00BD376B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04" w:type="dxa"/>
            <w:vAlign w:val="center"/>
          </w:tcPr>
          <w:p w:rsidR="0035599A" w:rsidRDefault="0035599A" w:rsidP="00A06B6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Институтский (факультетский)</w:t>
            </w:r>
          </w:p>
        </w:tc>
        <w:tc>
          <w:tcPr>
            <w:tcW w:w="2096" w:type="dxa"/>
            <w:vAlign w:val="bottom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DC342F">
              <w:rPr>
                <w:color w:val="000000"/>
                <w:szCs w:val="28"/>
              </w:rPr>
              <w:t>2</w:t>
            </w:r>
          </w:p>
        </w:tc>
        <w:tc>
          <w:tcPr>
            <w:tcW w:w="2373" w:type="dxa"/>
          </w:tcPr>
          <w:p w:rsidR="0035599A" w:rsidRPr="00DC342F" w:rsidRDefault="0035599A" w:rsidP="00A06B6B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</w:tbl>
    <w:p w:rsidR="001D4E34" w:rsidRPr="00B959BD" w:rsidRDefault="001D4E34" w:rsidP="00A06B6B">
      <w:pPr>
        <w:spacing w:after="0" w:line="240" w:lineRule="auto"/>
        <w:rPr>
          <w:rFonts w:eastAsia="Times New Roman"/>
        </w:rPr>
      </w:pPr>
    </w:p>
    <w:p w:rsidR="0035599A" w:rsidRDefault="0035599A" w:rsidP="00A06B6B">
      <w:pPr>
        <w:spacing w:after="0" w:line="240" w:lineRule="auto"/>
      </w:pPr>
      <w:r>
        <w:t xml:space="preserve">3)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УД</m:t>
            </m:r>
          </m:sub>
        </m:sSub>
      </m:oMath>
      <w:r w:rsidRPr="00B959BD">
        <w:t xml:space="preserve"> </w:t>
      </w:r>
      <w:r>
        <w:t>- и</w:t>
      </w:r>
      <w:r w:rsidR="001D4E34" w:rsidRPr="00B959BD">
        <w:t xml:space="preserve">тоговый балл </w:t>
      </w:r>
      <w:r>
        <w:t xml:space="preserve">для назначения повышенной государственной академической стипендии по </w:t>
      </w:r>
      <w:r w:rsidR="001D4E34" w:rsidRPr="00B959BD">
        <w:t>учебной деятельности</w:t>
      </w:r>
      <w:r>
        <w:t>.</w:t>
      </w:r>
    </w:p>
    <w:p w:rsidR="001D4E34" w:rsidRPr="00B959BD" w:rsidRDefault="00A06B6B" w:rsidP="00A06B6B">
      <w:pPr>
        <w:spacing w:after="0" w:line="240" w:lineRule="auto"/>
      </w:pPr>
      <m:oMath>
        <m:sSub>
          <m:sSub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УД</m:t>
            </m:r>
          </m:sub>
        </m:sSub>
      </m:oMath>
      <w:r w:rsidR="001D4E34" w:rsidRPr="00B959BD">
        <w:t xml:space="preserve"> рассчитывается по следующей формуле:</w:t>
      </w:r>
    </w:p>
    <w:p w:rsidR="001D4E34" w:rsidRPr="00B959BD" w:rsidRDefault="00A06B6B" w:rsidP="00A06B6B">
      <w:pPr>
        <w:spacing w:after="0" w:line="240" w:lineRule="auto"/>
        <w:ind w:firstLine="709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усп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</m:oMath>
      </m:oMathPara>
    </w:p>
    <w:p w:rsidR="001D4E34" w:rsidRPr="00B959BD" w:rsidRDefault="001D4E34" w:rsidP="00A06B6B">
      <w:pPr>
        <w:spacing w:after="0" w:line="240" w:lineRule="auto"/>
        <w:ind w:firstLine="709"/>
      </w:pPr>
      <w:r w:rsidRPr="00B959BD">
        <w:t>или</w:t>
      </w:r>
    </w:p>
    <w:p w:rsidR="001D4E34" w:rsidRPr="00B959BD" w:rsidRDefault="00A06B6B" w:rsidP="00A06B6B">
      <w:pPr>
        <w:spacing w:after="0" w:line="240" w:lineRule="auto"/>
        <w:ind w:firstLine="709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отл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</m:oMath>
      </m:oMathPara>
    </w:p>
    <w:p w:rsidR="001D4E34" w:rsidRPr="00B959BD" w:rsidRDefault="001D4E34" w:rsidP="00A06B6B">
      <w:pPr>
        <w:spacing w:after="0" w:line="240" w:lineRule="auto"/>
        <w:ind w:firstLine="709"/>
      </w:pPr>
      <w:r w:rsidRPr="00B959BD">
        <w:t>или</w:t>
      </w:r>
    </w:p>
    <w:p w:rsidR="002B6153" w:rsidRDefault="00A06B6B" w:rsidP="00A06B6B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+..+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+..+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eastAsia="ru-RU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eastAsia="ru-RU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+..+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+..+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БРС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e>
          </m:d>
          <m:r>
            <w:rPr>
              <w:rFonts w:ascii="Cambria Math" w:eastAsia="Times New Roman" w:hAnsi="Cambria Math"/>
              <w:lang w:eastAsia="ru-RU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отл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</m:oMath>
      </m:oMathPara>
    </w:p>
    <w:sectPr w:rsidR="002B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4D3"/>
    <w:multiLevelType w:val="hybridMultilevel"/>
    <w:tmpl w:val="C0C8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63DD"/>
    <w:multiLevelType w:val="hybridMultilevel"/>
    <w:tmpl w:val="CC4E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C0815"/>
    <w:multiLevelType w:val="hybridMultilevel"/>
    <w:tmpl w:val="6F6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03A9"/>
    <w:multiLevelType w:val="hybridMultilevel"/>
    <w:tmpl w:val="9BE6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10BD"/>
    <w:multiLevelType w:val="hybridMultilevel"/>
    <w:tmpl w:val="9BE6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BAF"/>
    <w:multiLevelType w:val="hybridMultilevel"/>
    <w:tmpl w:val="48C2D274"/>
    <w:lvl w:ilvl="0" w:tplc="17709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B7563"/>
    <w:multiLevelType w:val="hybridMultilevel"/>
    <w:tmpl w:val="9F78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A531D"/>
    <w:multiLevelType w:val="multilevel"/>
    <w:tmpl w:val="6668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C50251"/>
    <w:multiLevelType w:val="hybridMultilevel"/>
    <w:tmpl w:val="9B5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747C0"/>
    <w:multiLevelType w:val="hybridMultilevel"/>
    <w:tmpl w:val="930CD520"/>
    <w:lvl w:ilvl="0" w:tplc="80466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2"/>
    <w:rsid w:val="00002EB1"/>
    <w:rsid w:val="00043D9D"/>
    <w:rsid w:val="001203EC"/>
    <w:rsid w:val="001B594E"/>
    <w:rsid w:val="001D4E34"/>
    <w:rsid w:val="001E5E66"/>
    <w:rsid w:val="00261C55"/>
    <w:rsid w:val="00297097"/>
    <w:rsid w:val="002A136D"/>
    <w:rsid w:val="002B6153"/>
    <w:rsid w:val="003341BD"/>
    <w:rsid w:val="0035599A"/>
    <w:rsid w:val="00373C02"/>
    <w:rsid w:val="00385712"/>
    <w:rsid w:val="003A142C"/>
    <w:rsid w:val="00404216"/>
    <w:rsid w:val="00421315"/>
    <w:rsid w:val="004410E2"/>
    <w:rsid w:val="004C3A90"/>
    <w:rsid w:val="004C5C32"/>
    <w:rsid w:val="004C6C0E"/>
    <w:rsid w:val="005447C5"/>
    <w:rsid w:val="00583275"/>
    <w:rsid w:val="00597655"/>
    <w:rsid w:val="005B4708"/>
    <w:rsid w:val="005E4E5A"/>
    <w:rsid w:val="00667241"/>
    <w:rsid w:val="00700308"/>
    <w:rsid w:val="00766A32"/>
    <w:rsid w:val="00770573"/>
    <w:rsid w:val="007E0A56"/>
    <w:rsid w:val="007E2F31"/>
    <w:rsid w:val="00814E5A"/>
    <w:rsid w:val="00843FA2"/>
    <w:rsid w:val="008A4038"/>
    <w:rsid w:val="008D6D94"/>
    <w:rsid w:val="008F5DB1"/>
    <w:rsid w:val="00942835"/>
    <w:rsid w:val="00955017"/>
    <w:rsid w:val="00A06B6B"/>
    <w:rsid w:val="00A4547B"/>
    <w:rsid w:val="00A9543C"/>
    <w:rsid w:val="00AD411C"/>
    <w:rsid w:val="00AF6F9F"/>
    <w:rsid w:val="00BD376B"/>
    <w:rsid w:val="00C53AB3"/>
    <w:rsid w:val="00C92271"/>
    <w:rsid w:val="00CA13D1"/>
    <w:rsid w:val="00CC691B"/>
    <w:rsid w:val="00CE42E5"/>
    <w:rsid w:val="00D109D0"/>
    <w:rsid w:val="00D33AC8"/>
    <w:rsid w:val="00DB23B9"/>
    <w:rsid w:val="00DC342F"/>
    <w:rsid w:val="00E42593"/>
    <w:rsid w:val="00E42ADE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B"/>
    <w:pPr>
      <w:spacing w:line="254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E0A5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75"/>
    <w:pPr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8D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9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0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6F9F"/>
    <w:rPr>
      <w:color w:val="0000FF"/>
      <w:u w:val="single"/>
    </w:rPr>
  </w:style>
  <w:style w:type="table" w:styleId="a7">
    <w:name w:val="Table Grid"/>
    <w:basedOn w:val="a1"/>
    <w:uiPriority w:val="59"/>
    <w:rsid w:val="001D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B"/>
    <w:pPr>
      <w:spacing w:line="254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E0A5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75"/>
    <w:pPr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8D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9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0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6F9F"/>
    <w:rPr>
      <w:color w:val="0000FF"/>
      <w:u w:val="single"/>
    </w:rPr>
  </w:style>
  <w:style w:type="table" w:styleId="a7">
    <w:name w:val="Table Grid"/>
    <w:basedOn w:val="a1"/>
    <w:uiPriority w:val="59"/>
    <w:rsid w:val="001D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1D0C-B15C-4109-A7A8-50D442F7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Винокуров</dc:creator>
  <cp:lastModifiedBy>елена</cp:lastModifiedBy>
  <cp:revision>9</cp:revision>
  <cp:lastPrinted>2018-03-12T00:15:00Z</cp:lastPrinted>
  <dcterms:created xsi:type="dcterms:W3CDTF">2018-03-07T05:04:00Z</dcterms:created>
  <dcterms:modified xsi:type="dcterms:W3CDTF">2018-03-12T00:15:00Z</dcterms:modified>
</cp:coreProperties>
</file>