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C7" w:rsidRPr="009617C7" w:rsidRDefault="009617C7" w:rsidP="009617C7">
      <w:pPr>
        <w:pStyle w:val="s1"/>
        <w:shd w:val="clear" w:color="auto" w:fill="FFFFFF"/>
        <w:jc w:val="center"/>
        <w:rPr>
          <w:b/>
        </w:rPr>
      </w:pPr>
      <w:r>
        <w:rPr>
          <w:b/>
        </w:rPr>
        <w:t xml:space="preserve">Информация для вакцинации от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</w:t>
      </w:r>
      <w:r>
        <w:rPr>
          <w:b/>
          <w:lang w:val="en-US"/>
        </w:rPr>
        <w:t>COVID</w:t>
      </w:r>
      <w:r w:rsidRPr="009617C7">
        <w:rPr>
          <w:b/>
        </w:rPr>
        <w:t>-19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rPr>
          <w:b/>
        </w:rPr>
        <w:t>Вакцина "Гам-КОВИД-</w:t>
      </w:r>
      <w:proofErr w:type="spellStart"/>
      <w:r w:rsidRPr="009617C7">
        <w:rPr>
          <w:b/>
        </w:rPr>
        <w:t>Вак</w:t>
      </w:r>
      <w:proofErr w:type="spellEnd"/>
      <w:r w:rsidRPr="009617C7">
        <w:rPr>
          <w:b/>
        </w:rPr>
        <w:t>"</w:t>
      </w:r>
      <w:r w:rsidRPr="009617C7">
        <w:t xml:space="preserve"> получена биотехнологическим путем, при котором не используется патогенный для человека вирус SARS-CoV-2, представляет собой раствор для внутримышечного введения.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S- вируса SARS-CoV-2, в состав компонента II входит вектор на основе аденовируса человека 5 серотипа, несущий ген белка S вируса SARS-CoV-2. Хранение вакцины осуществляется в виде замороженного раствора при температуре ниже минус 18°С. Оба компонента представляют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 Вакцина индуцирует формирование гуморального и клеточного иммунитета в отношении </w:t>
      </w:r>
      <w:proofErr w:type="spellStart"/>
      <w:r w:rsidRPr="009617C7">
        <w:t>коронавирусной</w:t>
      </w:r>
      <w:proofErr w:type="spellEnd"/>
      <w:r w:rsidRPr="009617C7">
        <w:t xml:space="preserve"> инфекции, вызываемой вирусом SARS-CoV-2.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9617C7">
        <w:rPr>
          <w:b/>
        </w:rPr>
        <w:t xml:space="preserve">Срок годности: 6 месяцев. </w:t>
      </w:r>
    </w:p>
    <w:p w:rsidR="007740C3" w:rsidRPr="009617C7" w:rsidRDefault="002E0BB2" w:rsidP="002E0BB2">
      <w:pPr>
        <w:pStyle w:val="s1"/>
        <w:shd w:val="clear" w:color="auto" w:fill="FFFFFF"/>
        <w:ind w:firstLine="709"/>
        <w:jc w:val="both"/>
      </w:pPr>
      <w:r>
        <w:t>Вакцинацию против СО</w:t>
      </w:r>
      <w:r>
        <w:rPr>
          <w:lang w:val="en-US"/>
        </w:rPr>
        <w:t>V</w:t>
      </w:r>
      <w:r w:rsidR="007740C3" w:rsidRPr="009617C7">
        <w:t>ID-19 проводят вакциной "Гам-КОВИД-</w:t>
      </w:r>
      <w:proofErr w:type="spellStart"/>
      <w:r w:rsidR="007740C3" w:rsidRPr="009617C7">
        <w:t>Вак</w:t>
      </w:r>
      <w:proofErr w:type="spellEnd"/>
      <w:r w:rsidR="007740C3" w:rsidRPr="009617C7">
        <w:t>» гражданам</w:t>
      </w:r>
      <w:r w:rsidR="007740C3" w:rsidRPr="009617C7">
        <w:t>, не имеющим медицинских противопоказаний, с добровольного согласия гра</w:t>
      </w:r>
      <w:r w:rsidR="007740C3" w:rsidRPr="009617C7">
        <w:t>ждан в медицинских организациях.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 xml:space="preserve">Вакцинация проводится в </w:t>
      </w:r>
      <w:r w:rsidR="002E0BB2">
        <w:t>ГБУ РС (Я) «</w:t>
      </w:r>
      <w:proofErr w:type="spellStart"/>
      <w:r w:rsidR="002E0BB2">
        <w:t>Нерюнгринская</w:t>
      </w:r>
      <w:proofErr w:type="spellEnd"/>
      <w:r w:rsidR="002E0BB2">
        <w:t xml:space="preserve"> ЦРБ», в прививочном кабинете поликлиники для взрослых. По мере необходимости будут открываться дополнительные пункты вакцинации (поликлиника профилактических осмотров, кожно-венерологический диспансер, больничный комплекс). Лицензия на иммунопрофилактику имеется.  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rPr>
          <w:b/>
        </w:rPr>
        <w:t>Показания к применению:</w:t>
      </w:r>
      <w:r w:rsidRPr="009617C7">
        <w:t xml:space="preserve"> Профилактика новой </w:t>
      </w:r>
      <w:proofErr w:type="spellStart"/>
      <w:r w:rsidRPr="009617C7">
        <w:t>коронавирусной</w:t>
      </w:r>
      <w:proofErr w:type="spellEnd"/>
      <w:r w:rsidRPr="009617C7">
        <w:t xml:space="preserve"> инфекции (COVID-19) у взрослых старше 18 лет.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9617C7">
        <w:rPr>
          <w:b/>
        </w:rPr>
        <w:t>Противопоказаниями к применению являются: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гиперчувствительность к какому-либо компоненту вакцины или вакцины, содержащей аналогичные компоненты;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тяжелые аллергические реакции в анамнезе;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острые инфекционные и неинфекционные заболевания, обострение хронических заболеваний - вакцинацию проводят через 2-4 недели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беременность и период грудного вскармливания;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возраст до 18 лет (в связи с отсутствием данных об эффективности и безопасности).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9617C7">
        <w:rPr>
          <w:b/>
        </w:rPr>
        <w:t>Противопоказания для введения компонента II: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тяжелые поствакцинальные осложнения (анафилактический шок, тяжелые генерализированные аллергические реакции, судорожный синдром, температур выше 40°С и т.д.) на введение компонента I вакцины.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9617C7">
        <w:rPr>
          <w:b/>
        </w:rPr>
        <w:lastRenderedPageBreak/>
        <w:t>Применяется с осторожностью при: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Хронических заболеваниях печени и почек, эндокринных заболеваниях (выраженные нарушения функции щитовидной железы и сахарный диабет в стадии декомпенсации),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Вследствие недостатка информации вакцинация может представлять риск для следующих групп пациентов: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аутоиммунной патологией, имеющей тенденцию к развитию тяжелых и </w:t>
      </w:r>
      <w:proofErr w:type="spellStart"/>
      <w:r w:rsidRPr="009617C7">
        <w:t>жизнеугрожающих</w:t>
      </w:r>
      <w:proofErr w:type="spellEnd"/>
      <w:r w:rsidRPr="009617C7">
        <w:t xml:space="preserve"> состояний);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- со злокачественными новообразованиями.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Принятие решения о вакцинации должно основываться на оценке соотношения пользы и риска в каждой конкретной ситуации.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>Прививочные кабинеты</w:t>
      </w:r>
      <w:r w:rsidRPr="009617C7">
        <w:t xml:space="preserve"> оснащены средствами противошоковой терапии в соответствии с </w:t>
      </w:r>
      <w:hyperlink r:id="rId5" w:anchor="/document/70309360/entry/1000" w:history="1">
        <w:r w:rsidRPr="009617C7">
          <w:rPr>
            <w:rStyle w:val="a3"/>
            <w:color w:val="auto"/>
            <w:u w:val="none"/>
          </w:rPr>
          <w:t>Приказом</w:t>
        </w:r>
      </w:hyperlink>
      <w:r w:rsidRPr="009617C7">
        <w:t> Министерства здравоохранения РФ от 20 декабря 2012 г. N 1079н "Об утверждении стандарта скорой медицинской помощи при анафилактическом шоке).</w:t>
      </w:r>
    </w:p>
    <w:p w:rsidR="00D90F59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 xml:space="preserve">В день проведения вакцинации пациент </w:t>
      </w:r>
      <w:r w:rsidRPr="009617C7">
        <w:t>осматривается</w:t>
      </w:r>
      <w:r w:rsidRPr="009617C7">
        <w:t xml:space="preserve"> врачом</w:t>
      </w:r>
      <w:r w:rsidRPr="009617C7">
        <w:t xml:space="preserve"> терапевтом</w:t>
      </w:r>
      <w:r w:rsidRPr="009617C7">
        <w:t xml:space="preserve">: </w:t>
      </w:r>
      <w:r w:rsidRPr="009617C7">
        <w:t>проводится объективный</w:t>
      </w:r>
      <w:r w:rsidRPr="009617C7">
        <w:t xml:space="preserve"> общий осмотр </w:t>
      </w:r>
      <w:r w:rsidR="00D90F59" w:rsidRPr="009617C7">
        <w:t>с измерением температуры, сбором эпидемиологического анамнеза, измерением сатурации, ЧСС, АД, аускультацией дыхательной и сердечно-сосудистой системы, осмотром зева и заполнением информированного добровольного согласия.</w:t>
      </w:r>
    </w:p>
    <w:p w:rsidR="007740C3" w:rsidRPr="002E0BB2" w:rsidRDefault="00D90F59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2E0BB2">
        <w:rPr>
          <w:b/>
        </w:rPr>
        <w:t>В</w:t>
      </w:r>
      <w:r w:rsidR="007740C3" w:rsidRPr="002E0BB2">
        <w:rPr>
          <w:b/>
        </w:rPr>
        <w:t xml:space="preserve"> случае если температура превышает 37°С, вакцинацию не проводят.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9617C7">
        <w:rPr>
          <w:b/>
        </w:rPr>
        <w:t>Особые указания:</w:t>
      </w:r>
    </w:p>
    <w:p w:rsidR="007740C3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 xml:space="preserve">1) У пациентов, получающих </w:t>
      </w:r>
      <w:proofErr w:type="spellStart"/>
      <w:r w:rsidRPr="009617C7">
        <w:t>иммуносупрессивную</w:t>
      </w:r>
      <w:proofErr w:type="spellEnd"/>
      <w:r w:rsidRPr="009617C7">
        <w:t xml:space="preserve"> терапию и пациентов с иммунодефицитом, может не развиться достаточный иммунный ответ.</w:t>
      </w:r>
    </w:p>
    <w:p w:rsidR="00D90F59" w:rsidRPr="009617C7" w:rsidRDefault="007740C3" w:rsidP="002E0BB2">
      <w:pPr>
        <w:pStyle w:val="s1"/>
        <w:shd w:val="clear" w:color="auto" w:fill="FFFFFF"/>
        <w:ind w:firstLine="709"/>
        <w:jc w:val="both"/>
      </w:pPr>
      <w:r w:rsidRPr="009617C7">
        <w:t xml:space="preserve">2) Важно обратить внимание, что при необходимости, оценка напряженности поствакцинального </w:t>
      </w:r>
      <w:proofErr w:type="spellStart"/>
      <w:r w:rsidRPr="009617C7">
        <w:t>протективного</w:t>
      </w:r>
      <w:proofErr w:type="spellEnd"/>
      <w:r w:rsidRPr="009617C7">
        <w:t xml:space="preserve"> иммунитета должна проводиться методом иммуноферментного анализа </w:t>
      </w:r>
      <w:proofErr w:type="spellStart"/>
      <w:r w:rsidRPr="009617C7">
        <w:t>IgM</w:t>
      </w:r>
      <w:proofErr w:type="spellEnd"/>
      <w:r w:rsidRPr="009617C7">
        <w:t xml:space="preserve"> и </w:t>
      </w:r>
      <w:proofErr w:type="spellStart"/>
      <w:r w:rsidRPr="009617C7">
        <w:t>IgG</w:t>
      </w:r>
      <w:proofErr w:type="spellEnd"/>
      <w:r w:rsidRPr="009617C7">
        <w:t xml:space="preserve"> с использованием тест-систем, специфичных к наличию S-белка или RBD домену S-белка вируса SARS-CoV-2 не ранее, чем на </w:t>
      </w:r>
      <w:r w:rsidRPr="009617C7">
        <w:rPr>
          <w:b/>
        </w:rPr>
        <w:t>42 день после I этапа вакцинации</w:t>
      </w:r>
      <w:r w:rsidRPr="009617C7">
        <w:t>.</w:t>
      </w:r>
    </w:p>
    <w:p w:rsidR="002E0BB2" w:rsidRDefault="00D90F59" w:rsidP="002E0BB2">
      <w:pPr>
        <w:pStyle w:val="s1"/>
        <w:shd w:val="clear" w:color="auto" w:fill="FFFFFF"/>
        <w:ind w:firstLine="709"/>
        <w:jc w:val="both"/>
      </w:pPr>
      <w:r w:rsidRPr="009617C7">
        <w:t>Пациенту выдается информационный материал. При наличии положительного эпидемиологического анамнеза (контакт с больными с инфекционными заболеваниями в течение последних 14 дней), а также при наличии какого-либо симптома заболевания в течение последних 14 дней</w:t>
      </w:r>
      <w:r w:rsidR="002E0BB2">
        <w:t xml:space="preserve"> вакцинация не проводится. По направлению врача возможно проведение тестирования</w:t>
      </w:r>
      <w:r w:rsidRPr="009617C7">
        <w:t xml:space="preserve">: исследование биоматериала из </w:t>
      </w:r>
      <w:proofErr w:type="spellStart"/>
      <w:r w:rsidRPr="009617C7">
        <w:t>носо</w:t>
      </w:r>
      <w:proofErr w:type="spellEnd"/>
      <w:r w:rsidRPr="009617C7">
        <w:t xml:space="preserve">- и ротоглотки методом ПЦР (или экспресс-тестом) на наличие </w:t>
      </w:r>
      <w:proofErr w:type="spellStart"/>
      <w:r w:rsidRPr="009617C7">
        <w:t>коронавируса</w:t>
      </w:r>
      <w:proofErr w:type="spellEnd"/>
      <w:r w:rsidRPr="009617C7">
        <w:t xml:space="preserve"> SARS-CoV-2. </w:t>
      </w:r>
    </w:p>
    <w:p w:rsidR="00D90F59" w:rsidRPr="009617C7" w:rsidRDefault="00D90F59" w:rsidP="002E0BB2">
      <w:pPr>
        <w:pStyle w:val="s1"/>
        <w:shd w:val="clear" w:color="auto" w:fill="FFFFFF"/>
        <w:ind w:firstLine="709"/>
        <w:jc w:val="both"/>
      </w:pPr>
      <w:r w:rsidRPr="009617C7">
        <w:lastRenderedPageBreak/>
        <w:t>Переболевшие COVID-19 и лица, имеющие положительные результаты ранее выполненного исследования на наличие иммуноглобулинов классов G и М к вирусу SARS-CoV-2</w:t>
      </w:r>
      <w:r w:rsidRPr="009617C7">
        <w:t xml:space="preserve"> с высоким титром антител</w:t>
      </w:r>
      <w:r w:rsidRPr="009617C7">
        <w:t>, не прививаются</w:t>
      </w:r>
      <w:r w:rsidRPr="009617C7">
        <w:t xml:space="preserve"> в течение 6 месяцев после выздоровления</w:t>
      </w:r>
      <w:r w:rsidRPr="009617C7">
        <w:t>.</w:t>
      </w:r>
    </w:p>
    <w:p w:rsidR="00D90F59" w:rsidRPr="009617C7" w:rsidRDefault="00D90F59" w:rsidP="002E0BB2">
      <w:pPr>
        <w:pStyle w:val="s1"/>
        <w:shd w:val="clear" w:color="auto" w:fill="FFFFFF"/>
        <w:ind w:firstLine="709"/>
        <w:jc w:val="both"/>
      </w:pPr>
      <w:r w:rsidRPr="009617C7">
        <w:t>Врач предупреждает пациента о возможных поствакцинальных осложнениях и выдает пациенту памятку с информационным материалом</w:t>
      </w:r>
    </w:p>
    <w:p w:rsidR="005704FA" w:rsidRPr="009617C7" w:rsidRDefault="005704FA" w:rsidP="002E0BB2">
      <w:pPr>
        <w:pStyle w:val="s3"/>
        <w:shd w:val="clear" w:color="auto" w:fill="FFFFFF"/>
        <w:ind w:firstLine="709"/>
        <w:jc w:val="center"/>
        <w:rPr>
          <w:b/>
        </w:rPr>
      </w:pPr>
      <w:r w:rsidRPr="009617C7">
        <w:rPr>
          <w:b/>
        </w:rPr>
        <w:t>Способ применения вакцины и дозы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 xml:space="preserve">Препарат выпускается в двух вариантах - </w:t>
      </w:r>
      <w:proofErr w:type="spellStart"/>
      <w:r w:rsidRPr="009617C7">
        <w:t>однодозовом</w:t>
      </w:r>
      <w:proofErr w:type="spellEnd"/>
      <w:r w:rsidRPr="009617C7">
        <w:t xml:space="preserve"> (0,5 мл/доза в ампулах) и </w:t>
      </w:r>
      <w:proofErr w:type="spellStart"/>
      <w:r w:rsidRPr="009617C7">
        <w:t>многодозовом</w:t>
      </w:r>
      <w:proofErr w:type="spellEnd"/>
      <w:r w:rsidRPr="009617C7">
        <w:t xml:space="preserve"> (3,0 мл во флаконах).</w:t>
      </w:r>
      <w:r w:rsidRPr="009617C7">
        <w:t xml:space="preserve"> В </w:t>
      </w:r>
      <w:proofErr w:type="spellStart"/>
      <w:r w:rsidRPr="009617C7">
        <w:t>Нерюнгринской</w:t>
      </w:r>
      <w:proofErr w:type="spellEnd"/>
      <w:r w:rsidRPr="009617C7">
        <w:t xml:space="preserve"> ЦРБ имеется </w:t>
      </w:r>
      <w:proofErr w:type="spellStart"/>
      <w:r w:rsidRPr="009617C7">
        <w:t>многодозовый</w:t>
      </w:r>
      <w:proofErr w:type="spellEnd"/>
      <w:r w:rsidRPr="009617C7">
        <w:t xml:space="preserve"> вариант вакцины. </w:t>
      </w:r>
      <w:r w:rsidRPr="009617C7">
        <w:t xml:space="preserve">Допускается хранение размороженной </w:t>
      </w:r>
      <w:proofErr w:type="spellStart"/>
      <w:r w:rsidRPr="009617C7">
        <w:t>однодозовой</w:t>
      </w:r>
      <w:proofErr w:type="spellEnd"/>
      <w:r w:rsidRPr="009617C7">
        <w:t xml:space="preserve"> ампулы не более 30 минут. Флакон, содержащий 3,0 мл вакцины, предназначен для вакцинации пяти пациентов, содержит 5 доз по 0,5 мл. Допускается хранение вскрытого флакона по 3,0 мл не более 2 часов при комнатной температуре. 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 xml:space="preserve">Перед вакцинированием флакон с компонентом I или II достают из морозильной камеры и выдерживают при комнатной температуре до полного размораживания. 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 xml:space="preserve">После размораживания раствора, флакон протирают снаружи салфеткой спиртовой для удаления влаги. Вскрывают алюминиевый колпачок или снимают защитную пластиковую накладку с </w:t>
      </w:r>
      <w:proofErr w:type="spellStart"/>
      <w:r w:rsidRPr="009617C7">
        <w:t>алюмопластикового</w:t>
      </w:r>
      <w:proofErr w:type="spellEnd"/>
      <w:r w:rsidRPr="009617C7">
        <w:t xml:space="preserve"> колпачка и обрабатывают резиновую пробку салфеткой спиртовой. После размораживания раствора, флакон протирают снаружи салфеткой спиртовой для удаления влаги. Снимают защитную пластиковую накладку с флакона и обрабатывают резиновую пробку салфеткой спиртовой. Используя шприц одноразового применения 2.0 мл с иглой, отбирают дозу 0,5 мл для введения пациенту, удаляют из шприца избыток воздуха. Спиртом (спиртовой салфеткой) протирают кожу в месте введения инъекции.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Вакцина предназначена только для внутримышечного введения. Строго запрещено внутривенное введение препарата. Вакцину вводят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Вакцинацию проводят в два этапа: вначале компонентом I в дозе 0,5 мл, затем на 21 день компонентом II в дозе 0,5 мл.</w:t>
      </w:r>
    </w:p>
    <w:p w:rsidR="005704FA" w:rsidRPr="002E0BB2" w:rsidRDefault="005704FA" w:rsidP="002E0BB2">
      <w:pPr>
        <w:pStyle w:val="s1"/>
        <w:shd w:val="clear" w:color="auto" w:fill="FFFFFF"/>
        <w:ind w:firstLine="709"/>
        <w:jc w:val="both"/>
        <w:rPr>
          <w:b/>
        </w:rPr>
      </w:pPr>
      <w:r w:rsidRPr="002E0BB2">
        <w:rPr>
          <w:b/>
        </w:rPr>
        <w:t>После вакцинации пациент должен находиться под наблюдением медицинского персонала в течение 30 минут!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После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 Реже отмечаются тошнота, диспепсия, снижение аппетита, иногда - увеличение регионарных лимфоузлов.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 xml:space="preserve">Возможно развитие аллергических реакций, кратковременное повышение уровня печеночных </w:t>
      </w:r>
      <w:proofErr w:type="spellStart"/>
      <w:r w:rsidRPr="009617C7">
        <w:t>трансаминаз</w:t>
      </w:r>
      <w:proofErr w:type="spellEnd"/>
      <w:r w:rsidRPr="009617C7">
        <w:t xml:space="preserve">, </w:t>
      </w:r>
      <w:proofErr w:type="spellStart"/>
      <w:r w:rsidRPr="009617C7">
        <w:t>креатинина</w:t>
      </w:r>
      <w:proofErr w:type="spellEnd"/>
      <w:r w:rsidRPr="009617C7">
        <w:t xml:space="preserve"> и </w:t>
      </w:r>
      <w:proofErr w:type="spellStart"/>
      <w:r w:rsidRPr="009617C7">
        <w:t>креатинфосфокиназы</w:t>
      </w:r>
      <w:proofErr w:type="spellEnd"/>
      <w:r w:rsidRPr="009617C7">
        <w:t xml:space="preserve"> в сыворотке крови.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lastRenderedPageBreak/>
        <w:t>II этап вакцинации (на 21 день после I этапа), перед проведением II этапа вакцинации проводится повторный осмотр врачом с измерением температуры, сбором эпидемиологического анализа, измерением сатурации, ЧСС, АД, аускультацией дыхательной и сердечно-сосудистой системы, осмотром зева.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Врач определяет отсутствие или наличие противопоказаний к вакцинации компонентом II.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Противопоказаниями к вакцинации компонентом II являются тяжелые поствакцинальные осложнения на введение компонента I вакцины.</w:t>
      </w:r>
    </w:p>
    <w:p w:rsidR="005704FA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После вакцинации пациент должен находиться под наблюдением медицинского персонала в течение 30 минут!</w:t>
      </w:r>
    </w:p>
    <w:p w:rsidR="005450D4" w:rsidRPr="009617C7" w:rsidRDefault="005704FA" w:rsidP="002E0BB2">
      <w:pPr>
        <w:pStyle w:val="s1"/>
        <w:shd w:val="clear" w:color="auto" w:fill="FFFFFF"/>
        <w:ind w:firstLine="709"/>
        <w:jc w:val="both"/>
      </w:pPr>
      <w:r w:rsidRPr="009617C7">
        <w:t>Факт применения вакцины на I и II этапах подтверждается внесением информации по форме регистра вакцинированных от COVID-19 в ЕГИСЗ.</w:t>
      </w:r>
    </w:p>
    <w:p w:rsidR="002870D7" w:rsidRPr="009617C7" w:rsidRDefault="005450D4" w:rsidP="00961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7C7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9617C7">
        <w:rPr>
          <w:rFonts w:ascii="Times New Roman" w:hAnsi="Times New Roman" w:cs="Times New Roman"/>
          <w:b/>
          <w:sz w:val="24"/>
          <w:szCs w:val="24"/>
        </w:rPr>
        <w:t xml:space="preserve"> главного врача            </w:t>
      </w:r>
      <w:bookmarkStart w:id="0" w:name="_GoBack"/>
      <w:bookmarkEnd w:id="0"/>
      <w:r w:rsidRPr="009617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Д.В. Мартемьянов</w:t>
      </w:r>
    </w:p>
    <w:sectPr w:rsidR="002870D7" w:rsidRPr="0096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118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C3"/>
    <w:rsid w:val="002870D7"/>
    <w:rsid w:val="002E0BB2"/>
    <w:rsid w:val="005450D4"/>
    <w:rsid w:val="005704FA"/>
    <w:rsid w:val="00614928"/>
    <w:rsid w:val="007740C3"/>
    <w:rsid w:val="009617C7"/>
    <w:rsid w:val="00D90F59"/>
    <w:rsid w:val="00F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85CC"/>
  <w15:chartTrackingRefBased/>
  <w15:docId w15:val="{577F6D6F-50C4-4725-AFBB-7B54D9B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614928"/>
    <w:pPr>
      <w:numPr>
        <w:numId w:val="1"/>
      </w:numPr>
    </w:pPr>
  </w:style>
  <w:style w:type="paragraph" w:customStyle="1" w:styleId="s1">
    <w:name w:val="s_1"/>
    <w:basedOn w:val="a"/>
    <w:rsid w:val="0077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40C3"/>
    <w:rPr>
      <w:color w:val="0000FF"/>
      <w:u w:val="single"/>
    </w:rPr>
  </w:style>
  <w:style w:type="paragraph" w:customStyle="1" w:styleId="s3">
    <w:name w:val="s_3"/>
    <w:basedOn w:val="a"/>
    <w:rsid w:val="005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2021-01-26T03:16:00Z</dcterms:created>
  <dcterms:modified xsi:type="dcterms:W3CDTF">2021-01-26T03:49:00Z</dcterms:modified>
</cp:coreProperties>
</file>