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26"/>
      </w:tblGrid>
      <w:tr w:rsidR="003462ED" w:rsidTr="003462ED">
        <w:trPr>
          <w:trHeight w:val="11502"/>
        </w:trPr>
        <w:tc>
          <w:tcPr>
            <w:tcW w:w="426" w:type="dxa"/>
          </w:tcPr>
          <w:p w:rsidR="003462ED" w:rsidRDefault="003462ED">
            <w:pPr>
              <w:snapToGrid w:val="0"/>
            </w:pPr>
          </w:p>
        </w:tc>
      </w:tr>
      <w:tr w:rsidR="003462ED" w:rsidTr="003462ED">
        <w:trPr>
          <w:trHeight w:val="11502"/>
        </w:trPr>
        <w:tc>
          <w:tcPr>
            <w:tcW w:w="426" w:type="dxa"/>
          </w:tcPr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Pr="003462ED" w:rsidRDefault="003462ED">
            <w:pPr>
              <w:snapToGrid w:val="0"/>
              <w:rPr>
                <w:lang w:val="en-US"/>
              </w:rPr>
            </w:pPr>
          </w:p>
        </w:tc>
      </w:tr>
    </w:tbl>
    <w:p w:rsidR="00D94A1E" w:rsidRDefault="00D94A1E" w:rsidP="00D94A1E">
      <w:pPr>
        <w:rPr>
          <w:lang w:val="en-US"/>
        </w:rPr>
      </w:pPr>
    </w:p>
    <w:p w:rsidR="003462ED" w:rsidRDefault="003462ED" w:rsidP="00D94A1E">
      <w:pPr>
        <w:rPr>
          <w:lang w:val="en-US"/>
        </w:rPr>
      </w:pPr>
    </w:p>
    <w:p w:rsidR="006927AB" w:rsidRPr="006B058A" w:rsidRDefault="006927AB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наказания; заключения о постановке несовершеннолетнего на профилактический учет в подразделении по делам несовершеннолетних и заведении учетно-профилактической карточки.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о снятии с профилактического учета по исправлению принимается на основании материалов, подтверждающих факт исправления лица, но не раньше чем через шесть месяцев с момента постановки на профилактический учет;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снятие с учета в медицинских организациях лиц (употребляющие наркотические средства или психотропные вещества без назначения врача либо одурманивающие вещества; употребляющие алкогольную и (или) спиртосодержащую продукцию) состоящих на профилактическом учете;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вынесение судом постановления об отмене условного осуждения, отсрочки отбывания наказания либо о замене неотбытого срока наказания в виде ограничения свободы наказанием в виде лишения свободы.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испытательного срока при условном осуждении.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отмена либо изменение приговора, исключивших применение условного осуждения или отсрочки отбывания наказания, если судом не применены к этому лицу иные виды наказания;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в СУВУЗТ;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преступления, если в отношении лица избрана мера пресечения в виде заключения под стражу, или при его осуждении к лишению свободы;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неподтверждение</w:t>
      </w:r>
      <w:proofErr w:type="spellEnd"/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послуживших основанием для постановки на профилактический учет;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наступление обстоятельств, исключающих возможность совершения правонарушений;</w:t>
      </w:r>
    </w:p>
    <w:p w:rsidR="009A0622" w:rsidRPr="006B058A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смерть, объявление в установленном законодательством Российской Федерации порядке умершим или признание безвестно отсутствующим;</w:t>
      </w:r>
    </w:p>
    <w:p w:rsidR="005D0EB1" w:rsidRDefault="009A0622" w:rsidP="009A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18-летнего возраста.</w:t>
      </w:r>
    </w:p>
    <w:p w:rsidR="001E6783" w:rsidRPr="005D0EB1" w:rsidRDefault="001E6783" w:rsidP="009A0622">
      <w:pPr>
        <w:rPr>
          <w:rFonts w:ascii="Times New Roman" w:hAnsi="Times New Roman" w:cs="Times New Roman"/>
        </w:rPr>
      </w:pPr>
    </w:p>
    <w:p w:rsidR="00B75CB6" w:rsidRPr="005D0EB1" w:rsidRDefault="005D0EB1" w:rsidP="005D0EB1">
      <w:pPr>
        <w:ind w:firstLine="708"/>
        <w:rPr>
          <w:rFonts w:ascii="Times New Roman" w:hAnsi="Times New Roman" w:cs="Times New Roman"/>
          <w:b/>
          <w:i/>
        </w:rPr>
      </w:pPr>
      <w:r w:rsidRPr="005D0EB1">
        <w:rPr>
          <w:rFonts w:ascii="Times New Roman" w:hAnsi="Times New Roman" w:cs="Times New Roman"/>
          <w:b/>
          <w:i/>
        </w:rPr>
        <w:t xml:space="preserve">Прокуратура </w:t>
      </w:r>
      <w:r w:rsidR="0072250F">
        <w:rPr>
          <w:rFonts w:ascii="Times New Roman" w:hAnsi="Times New Roman" w:cs="Times New Roman"/>
          <w:b/>
          <w:i/>
        </w:rPr>
        <w:t>г. Нерюнгри</w:t>
      </w:r>
      <w:r w:rsidRPr="005D0EB1">
        <w:rPr>
          <w:rFonts w:ascii="Times New Roman" w:hAnsi="Times New Roman" w:cs="Times New Roman"/>
          <w:b/>
          <w:i/>
        </w:rPr>
        <w:t xml:space="preserve"> </w:t>
      </w:r>
    </w:p>
    <w:p w:rsidR="005D0EB1" w:rsidRPr="005D0EB1" w:rsidRDefault="005D0EB1" w:rsidP="00B75CB6">
      <w:pPr>
        <w:ind w:firstLine="360"/>
        <w:rPr>
          <w:rFonts w:ascii="Times New Roman" w:hAnsi="Times New Roman" w:cs="Times New Roman"/>
          <w:i/>
        </w:rPr>
      </w:pPr>
      <w:r w:rsidRPr="005D0EB1">
        <w:rPr>
          <w:rFonts w:ascii="Times New Roman" w:hAnsi="Times New Roman" w:cs="Times New Roman"/>
          <w:i/>
        </w:rPr>
        <w:t xml:space="preserve">г. </w:t>
      </w:r>
      <w:r w:rsidR="0072250F">
        <w:rPr>
          <w:rFonts w:ascii="Times New Roman" w:hAnsi="Times New Roman" w:cs="Times New Roman"/>
          <w:i/>
        </w:rPr>
        <w:t>Нерюнгри</w:t>
      </w:r>
      <w:r w:rsidRPr="005D0EB1">
        <w:rPr>
          <w:rFonts w:ascii="Times New Roman" w:hAnsi="Times New Roman" w:cs="Times New Roman"/>
          <w:i/>
        </w:rPr>
        <w:t xml:space="preserve">, ул. </w:t>
      </w:r>
      <w:r w:rsidR="0072250F">
        <w:rPr>
          <w:rFonts w:ascii="Times New Roman" w:hAnsi="Times New Roman" w:cs="Times New Roman"/>
          <w:i/>
        </w:rPr>
        <w:t>К. Маркса</w:t>
      </w:r>
      <w:r w:rsidRPr="005D0EB1">
        <w:rPr>
          <w:rFonts w:ascii="Times New Roman" w:hAnsi="Times New Roman" w:cs="Times New Roman"/>
          <w:i/>
        </w:rPr>
        <w:t>, д.</w:t>
      </w:r>
      <w:r w:rsidR="0072250F">
        <w:rPr>
          <w:rFonts w:ascii="Times New Roman" w:hAnsi="Times New Roman" w:cs="Times New Roman"/>
          <w:i/>
        </w:rPr>
        <w:t>8/2</w:t>
      </w:r>
    </w:p>
    <w:p w:rsidR="00B75CB6" w:rsidRDefault="00B75CB6" w:rsidP="00B75CB6">
      <w:pPr>
        <w:ind w:firstLine="360"/>
        <w:rPr>
          <w:rFonts w:ascii="Times New Roman" w:hAnsi="Times New Roman" w:cs="Times New Roman"/>
          <w:i/>
        </w:rPr>
      </w:pPr>
    </w:p>
    <w:p w:rsidR="009A0622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9A0622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9A0622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9A0622" w:rsidRPr="005D0EB1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CC51DC" w:rsidRPr="00B75CB6" w:rsidRDefault="00CC51DC" w:rsidP="00CC51DC">
      <w:pPr>
        <w:pStyle w:val="a3"/>
        <w:spacing w:before="0" w:after="0"/>
        <w:rPr>
          <w:rStyle w:val="a7"/>
          <w:rFonts w:cs="Times New Roman"/>
          <w:b w:val="0"/>
          <w:sz w:val="22"/>
          <w:szCs w:val="22"/>
        </w:rPr>
      </w:pPr>
    </w:p>
    <w:p w:rsidR="003462ED" w:rsidRDefault="003462ED" w:rsidP="003462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Прокуратура </w:t>
      </w:r>
      <w:r w:rsidR="0072250F">
        <w:rPr>
          <w:rFonts w:ascii="Times New Roman" w:hAnsi="Times New Roman"/>
          <w:b/>
          <w:sz w:val="28"/>
          <w:szCs w:val="28"/>
        </w:rPr>
        <w:t>г. Нерюнгри</w:t>
      </w:r>
    </w:p>
    <w:p w:rsidR="003462ED" w:rsidRDefault="003462ED" w:rsidP="003462ED">
      <w:pPr>
        <w:jc w:val="center"/>
      </w:pPr>
    </w:p>
    <w:p w:rsidR="003462ED" w:rsidRPr="005D0EB1" w:rsidRDefault="003462ED" w:rsidP="003462ED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ED" w:rsidRPr="005D0EB1" w:rsidRDefault="003462ED" w:rsidP="003462ED">
      <w:pPr>
        <w:jc w:val="center"/>
      </w:pPr>
    </w:p>
    <w:p w:rsidR="001E6783" w:rsidRDefault="003462ED" w:rsidP="001E6783">
      <w:pPr>
        <w:spacing w:before="100" w:beforeAutospacing="1" w:after="100" w:afterAutospacing="1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6783">
        <w:rPr>
          <w:rFonts w:ascii="Times New Roman" w:hAnsi="Times New Roman" w:cs="Times New Roman"/>
          <w:b/>
          <w:sz w:val="28"/>
          <w:szCs w:val="28"/>
        </w:rPr>
        <w:t>«</w:t>
      </w:r>
      <w:r w:rsidR="001E6783">
        <w:rPr>
          <w:rFonts w:ascii="Times New Roman" w:hAnsi="Times New Roman" w:cs="Times New Roman"/>
          <w:b/>
          <w:sz w:val="28"/>
          <w:szCs w:val="28"/>
        </w:rPr>
        <w:t>П</w:t>
      </w:r>
      <w:r w:rsidR="001E6783" w:rsidRPr="006B05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</w:t>
      </w:r>
      <w:r w:rsidR="001E6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</w:t>
      </w:r>
      <w:r w:rsidR="001E6783" w:rsidRPr="006B05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постановки несовершеннолетних на профилактический учет в органы внутренних дел</w:t>
      </w:r>
      <w:r w:rsidR="001E6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3462ED" w:rsidRDefault="001E6783" w:rsidP="001E6783">
      <w:pPr>
        <w:spacing w:before="100" w:beforeAutospacing="1" w:after="100" w:afterAutospacing="1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90975" cy="2733675"/>
            <wp:effectExtent l="19050" t="0" r="0" b="0"/>
            <wp:docPr id="3" name="Рисунок 1" descr="http://usp07.msp.midural.ru/upload/images/usp07/2017/04/24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p07.msp.midural.ru/upload/images/usp07/2017/04/24/zastav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51" cy="273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ED">
        <w:rPr>
          <w:rFonts w:ascii="Times New Roman" w:hAnsi="Times New Roman" w:cs="Times New Roman"/>
          <w:sz w:val="24"/>
          <w:szCs w:val="24"/>
        </w:rPr>
        <w:t>(памятка</w:t>
      </w:r>
      <w:r w:rsidR="00346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2ED"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 w:rsidR="003462ED">
        <w:rPr>
          <w:rFonts w:ascii="Times New Roman" w:hAnsi="Times New Roman" w:cs="Times New Roman"/>
          <w:b/>
          <w:sz w:val="24"/>
          <w:szCs w:val="24"/>
        </w:rPr>
        <w:t>)</w:t>
      </w:r>
    </w:p>
    <w:p w:rsidR="003462ED" w:rsidRPr="00D2059E" w:rsidRDefault="0072250F" w:rsidP="00346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Нерюнгри</w:t>
      </w:r>
    </w:p>
    <w:p w:rsidR="003462ED" w:rsidRPr="00D2059E" w:rsidRDefault="003462ED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9E">
        <w:rPr>
          <w:rFonts w:ascii="Times New Roman" w:hAnsi="Times New Roman" w:cs="Times New Roman"/>
          <w:b/>
          <w:sz w:val="24"/>
          <w:szCs w:val="24"/>
        </w:rPr>
        <w:t>20</w:t>
      </w:r>
      <w:r w:rsidR="0072250F">
        <w:rPr>
          <w:rFonts w:ascii="Times New Roman" w:hAnsi="Times New Roman" w:cs="Times New Roman"/>
          <w:b/>
          <w:sz w:val="24"/>
          <w:szCs w:val="24"/>
        </w:rPr>
        <w:t>24 год</w:t>
      </w:r>
    </w:p>
    <w:p w:rsidR="000A42CA" w:rsidRDefault="000A42CA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D0EB1" w:rsidRDefault="005D0EB1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6927AB" w:rsidRDefault="006927AB" w:rsidP="006927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Предупреждением безнадзорности и правонарушений несовершеннолетних занимается широкий круг органов, учреждений и организаций, решающих задачи образования, здравоохранения, нравственно-культурного развития несовершеннолетних, обозначенных в статье 4, 24 Федерального закона от 24.06.1999 №</w:t>
      </w:r>
      <w:r w:rsidR="0072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120-ФЗ «Об основах системы профилактики безнадзорности и правонарушений несовершеннолетних». К субъектам системы профилактики относятся органы внутренних дел – это государственные органы исполнительной власти, составная часть правоохранительной системы, главными задачами которой являются обеспечение общественного порядка и общественной безопасности, борьба с преступностью, а также иными правонарушениями.</w:t>
      </w:r>
    </w:p>
    <w:p w:rsidR="006927AB" w:rsidRPr="006B058A" w:rsidRDefault="006927AB" w:rsidP="006927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 Федерального закона №</w:t>
      </w:r>
      <w:r w:rsidR="0072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120-ФЗ в случае прекращения уголовного дела и уголовного преследования, а также вынесения постановления об отказе в возбуждении уголовного дела в отношении несовершеннолетнего, орган дознания, следователь, прокурор указывают в постановлении на необходимость проведения с несовершеннолетним индивидуальной воспитательной работы и постановки его на профилактический учет в комиссии по делам несовершеннолетних и подразделении по делам несовершеннолетних органа внутренних дел. Копии постановления направляются в указанные органы для исполнения.</w:t>
      </w:r>
    </w:p>
    <w:p w:rsidR="001E6783" w:rsidRDefault="006927AB" w:rsidP="001E6783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МВД России от 15.10.2013 №</w:t>
      </w:r>
      <w:r w:rsidR="0072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845 утверждена Инструкция по организации деятельности подразделений по делам несовершеннолетних органов внутренних дел Российской Федерации</w:t>
      </w:r>
      <w:r w:rsidR="009A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ПДН ставят на профилактический учет несовершеннолетних правонарушителей,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 совершивших правонарушение, повлекшее применение меры административного взыскания; совершивших правонарушение до достижения возраста, с которого наступает административная ответственность; освобожденных от уголовной ответственности вследствие акта об амнистии, или в связи с изменением обстановки, или в связи с примирением с потерпевшим, </w:t>
      </w:r>
    </w:p>
    <w:p w:rsidR="001E6783" w:rsidRDefault="001E6783" w:rsidP="001E6783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AB" w:rsidRDefault="006927AB" w:rsidP="001E6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деятельным раскаянием,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обвиняемых или подозреваемых в совершении преступлений, в отношении которых избраны меры пресечения, не связанные с заключением под стражу; условно-досрочно освобожденных от отбывания наказания, освобожденных от наказания вследствие акта об амнистии или в связи с помилованием; получивших отсрочку отбывания наказания или отсрочку исполнения приговора; освобожденных из учреждений уголовно-исполнительной системы Федеральной службы исполнения наказаний, вернувшихся из специальных учебно-воспитательных учреждений закрытого типа, если они в период пребывания в указанных учреждениях допускали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режима, совершали противоправные деяния; освобожденных из учреждений уголовно-исполнительной системы, вернувшихся из СУВУЗТ, если после освобождения (выпуска) находятся в социально опасном положении и (или) нуждаются в социальной помощи и (или) реабилитации; </w:t>
      </w:r>
      <w:r w:rsidR="001E6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свобожденных из учреждений уголовно-исполнительной системы, вернувшихся из СУВУЗТ, если после освобождения (выпуска) находятся в социально опасном положении и (или) нуждаются в социальной помощи и (или) реабилитации;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6927AB" w:rsidRDefault="006927AB" w:rsidP="006927A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категории несовершеннолетних ставятся на профилактический учет </w:t>
      </w:r>
      <w:bookmarkStart w:id="0" w:name="_GoBack"/>
      <w:r w:rsidRPr="00722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bookmarkEnd w:id="0"/>
      <w:r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приговора, определения или постановления суда; постановления прокурора, следователя, дознавателя, начальника территориального органа МВД России, </w:t>
      </w:r>
      <w:proofErr w:type="spellStart"/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протокола об административном правонарушении, по которому </w:t>
      </w:r>
      <w:r w:rsidR="001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1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1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</w:t>
      </w:r>
      <w:r w:rsidR="001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6783" w:rsidRPr="006B0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</w:p>
    <w:p w:rsidR="006927AB" w:rsidRPr="006B058A" w:rsidRDefault="006927AB" w:rsidP="006927A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AB" w:rsidRDefault="006927AB" w:rsidP="006927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27AB" w:rsidSect="003462ED">
      <w:pgSz w:w="16838" w:h="11906" w:orient="landscape"/>
      <w:pgMar w:top="284" w:right="1134" w:bottom="56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A1E"/>
    <w:rsid w:val="000A42CA"/>
    <w:rsid w:val="001E6783"/>
    <w:rsid w:val="002B59FE"/>
    <w:rsid w:val="003462ED"/>
    <w:rsid w:val="00490DC7"/>
    <w:rsid w:val="005D0EB1"/>
    <w:rsid w:val="00614B92"/>
    <w:rsid w:val="006927AB"/>
    <w:rsid w:val="006E3B29"/>
    <w:rsid w:val="0072250F"/>
    <w:rsid w:val="008549B6"/>
    <w:rsid w:val="009A0622"/>
    <w:rsid w:val="00B75CB6"/>
    <w:rsid w:val="00B84F98"/>
    <w:rsid w:val="00CC51DC"/>
    <w:rsid w:val="00D2059E"/>
    <w:rsid w:val="00D94A1E"/>
    <w:rsid w:val="00E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A32A"/>
  <w15:docId w15:val="{8DC4967C-DCBF-4944-9917-CB9BAE1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A1E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A1E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94A1E"/>
    <w:pPr>
      <w:widowControl w:val="0"/>
      <w:spacing w:after="120"/>
      <w:jc w:val="lef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D94A1E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No Spacing"/>
    <w:qFormat/>
    <w:rsid w:val="00D94A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Strong"/>
    <w:basedOn w:val="a0"/>
    <w:uiPriority w:val="22"/>
    <w:qFormat/>
    <w:rsid w:val="00D94A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4A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A1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56D6-7C5E-47DC-9D33-BC919321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cp:lastModifiedBy>Дергович Вера Павловна</cp:lastModifiedBy>
  <cp:revision>4</cp:revision>
  <cp:lastPrinted>2017-05-26T07:52:00Z</cp:lastPrinted>
  <dcterms:created xsi:type="dcterms:W3CDTF">2017-05-26T07:40:00Z</dcterms:created>
  <dcterms:modified xsi:type="dcterms:W3CDTF">2024-11-07T10:26:00Z</dcterms:modified>
</cp:coreProperties>
</file>